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r w:rsidRPr="00242D02">
        <w:rPr>
          <w:szCs w:val="24"/>
        </w:rPr>
        <w:t xml:space="preserve">Case Analysis </w:t>
      </w:r>
    </w:p>
    <w:p w:rsidR="00A32109" w:rsidRPr="00242D02" w:rsidRDefault="00A32109" w:rsidP="00242D02">
      <w:pPr>
        <w:spacing w:after="0" w:line="480" w:lineRule="auto"/>
        <w:jc w:val="center"/>
        <w:rPr>
          <w:szCs w:val="24"/>
        </w:rPr>
      </w:pPr>
      <w:r w:rsidRPr="00242D02">
        <w:rPr>
          <w:szCs w:val="24"/>
        </w:rPr>
        <w:t xml:space="preserve">Name </w:t>
      </w:r>
    </w:p>
    <w:p w:rsidR="00A32109" w:rsidRPr="00242D02" w:rsidRDefault="00A32109" w:rsidP="00242D02">
      <w:pPr>
        <w:spacing w:after="0" w:line="480" w:lineRule="auto"/>
        <w:jc w:val="center"/>
        <w:rPr>
          <w:szCs w:val="24"/>
        </w:rPr>
      </w:pPr>
      <w:r w:rsidRPr="00242D02">
        <w:rPr>
          <w:szCs w:val="24"/>
        </w:rPr>
        <w:t xml:space="preserve">Institution </w:t>
      </w:r>
    </w:p>
    <w:p w:rsidR="00A32109" w:rsidRPr="00242D02" w:rsidRDefault="00A32109" w:rsidP="00242D02">
      <w:pPr>
        <w:spacing w:after="0" w:line="480" w:lineRule="auto"/>
        <w:jc w:val="center"/>
        <w:rPr>
          <w:szCs w:val="24"/>
        </w:rPr>
      </w:pPr>
      <w:r w:rsidRPr="00242D02">
        <w:rPr>
          <w:szCs w:val="24"/>
        </w:rPr>
        <w:t xml:space="preserve">Date </w:t>
      </w: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jc w:val="center"/>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jc w:val="center"/>
        <w:rPr>
          <w:szCs w:val="24"/>
        </w:rPr>
      </w:pPr>
      <w:r w:rsidRPr="00242D02">
        <w:rPr>
          <w:szCs w:val="24"/>
        </w:rPr>
        <w:lastRenderedPageBreak/>
        <w:t xml:space="preserve">Case Analysis </w:t>
      </w:r>
    </w:p>
    <w:p w:rsidR="008C5607" w:rsidRPr="00242D02" w:rsidRDefault="00D17BC0" w:rsidP="00242D02">
      <w:pPr>
        <w:spacing w:after="0" w:line="480" w:lineRule="auto"/>
        <w:jc w:val="center"/>
        <w:rPr>
          <w:b/>
          <w:szCs w:val="24"/>
        </w:rPr>
      </w:pPr>
      <w:r w:rsidRPr="00242D02">
        <w:rPr>
          <w:b/>
          <w:szCs w:val="24"/>
        </w:rPr>
        <w:t>Case facts</w:t>
      </w:r>
    </w:p>
    <w:p w:rsidR="008C5607" w:rsidRPr="00242D02" w:rsidRDefault="00D17BC0" w:rsidP="00242D02">
      <w:pPr>
        <w:shd w:val="clear" w:color="auto" w:fill="FFFFFF"/>
        <w:spacing w:after="0" w:line="480" w:lineRule="auto"/>
        <w:outlineLvl w:val="0"/>
        <w:rPr>
          <w:rFonts w:eastAsia="Times New Roman"/>
          <w:bCs/>
          <w:i/>
          <w:color w:val="152235"/>
          <w:kern w:val="36"/>
          <w:szCs w:val="24"/>
        </w:rPr>
      </w:pPr>
      <w:r w:rsidRPr="00242D02">
        <w:rPr>
          <w:rFonts w:eastAsia="Times New Roman"/>
          <w:bCs/>
          <w:i/>
          <w:color w:val="152235"/>
          <w:kern w:val="36"/>
          <w:szCs w:val="24"/>
        </w:rPr>
        <w:t>Borough v. Sisters of Charity</w:t>
      </w:r>
    </w:p>
    <w:p w:rsidR="008C5607" w:rsidRPr="00242D02" w:rsidRDefault="00D17BC0" w:rsidP="00242D02">
      <w:pPr>
        <w:pStyle w:val="ListParagraph"/>
        <w:numPr>
          <w:ilvl w:val="0"/>
          <w:numId w:val="1"/>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1970: Sisters</w:t>
      </w:r>
      <w:r w:rsidR="00223EBE" w:rsidRPr="00242D02">
        <w:rPr>
          <w:rFonts w:eastAsia="Times New Roman"/>
          <w:bCs/>
          <w:color w:val="152235"/>
          <w:kern w:val="36"/>
          <w:szCs w:val="24"/>
        </w:rPr>
        <w:t xml:space="preserve"> put in </w:t>
      </w:r>
      <w:r w:rsidR="00E066F9" w:rsidRPr="00242D02">
        <w:rPr>
          <w:rFonts w:eastAsia="Times New Roman"/>
          <w:bCs/>
          <w:color w:val="152235"/>
          <w:kern w:val="36"/>
          <w:szCs w:val="24"/>
        </w:rPr>
        <w:t>place an</w:t>
      </w:r>
      <w:r w:rsidRPr="00242D02">
        <w:rPr>
          <w:rFonts w:eastAsia="Times New Roman"/>
          <w:bCs/>
          <w:color w:val="152235"/>
          <w:kern w:val="36"/>
          <w:szCs w:val="24"/>
        </w:rPr>
        <w:t xml:space="preserve"> additional</w:t>
      </w:r>
      <w:r w:rsidR="00223EBE" w:rsidRPr="00242D02">
        <w:rPr>
          <w:rFonts w:eastAsia="Times New Roman"/>
          <w:bCs/>
          <w:color w:val="152235"/>
          <w:kern w:val="36"/>
          <w:szCs w:val="24"/>
        </w:rPr>
        <w:t xml:space="preserve"> building </w:t>
      </w:r>
      <w:r w:rsidRPr="00242D02">
        <w:rPr>
          <w:rFonts w:eastAsia="Times New Roman"/>
          <w:bCs/>
          <w:color w:val="152235"/>
          <w:kern w:val="36"/>
          <w:szCs w:val="24"/>
        </w:rPr>
        <w:t>in the hospital grounds</w:t>
      </w:r>
    </w:p>
    <w:p w:rsidR="008C5607" w:rsidRPr="00242D02" w:rsidRDefault="00D17BC0" w:rsidP="00242D02">
      <w:pPr>
        <w:pStyle w:val="ListParagraph"/>
        <w:numPr>
          <w:ilvl w:val="0"/>
          <w:numId w:val="1"/>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 xml:space="preserve">1972: The Providence professional building was open for operation </w:t>
      </w:r>
    </w:p>
    <w:p w:rsidR="008C5607" w:rsidRPr="00242D02" w:rsidRDefault="00D17BC0" w:rsidP="00242D02">
      <w:pPr>
        <w:pStyle w:val="ListParagraph"/>
        <w:numPr>
          <w:ilvl w:val="0"/>
          <w:numId w:val="1"/>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Sisters rented 1</w:t>
      </w:r>
      <w:r w:rsidRPr="00242D02">
        <w:rPr>
          <w:rFonts w:eastAsia="Times New Roman"/>
          <w:bCs/>
          <w:color w:val="152235"/>
          <w:kern w:val="36"/>
          <w:szCs w:val="24"/>
          <w:vertAlign w:val="superscript"/>
        </w:rPr>
        <w:t>st</w:t>
      </w:r>
      <w:r w:rsidRPr="00242D02">
        <w:rPr>
          <w:rFonts w:eastAsia="Times New Roman"/>
          <w:bCs/>
          <w:color w:val="152235"/>
          <w:kern w:val="36"/>
          <w:szCs w:val="24"/>
        </w:rPr>
        <w:t>, 2</w:t>
      </w:r>
      <w:r w:rsidRPr="00242D02">
        <w:rPr>
          <w:rFonts w:eastAsia="Times New Roman"/>
          <w:bCs/>
          <w:color w:val="152235"/>
          <w:kern w:val="36"/>
          <w:szCs w:val="24"/>
          <w:vertAlign w:val="superscript"/>
        </w:rPr>
        <w:t>nd</w:t>
      </w:r>
      <w:r w:rsidRPr="00242D02">
        <w:rPr>
          <w:rFonts w:eastAsia="Times New Roman"/>
          <w:bCs/>
          <w:color w:val="152235"/>
          <w:kern w:val="36"/>
          <w:szCs w:val="24"/>
        </w:rPr>
        <w:t xml:space="preserve"> and 3</w:t>
      </w:r>
      <w:r w:rsidRPr="00242D02">
        <w:rPr>
          <w:rFonts w:eastAsia="Times New Roman"/>
          <w:bCs/>
          <w:color w:val="152235"/>
          <w:kern w:val="36"/>
          <w:szCs w:val="24"/>
          <w:vertAlign w:val="superscript"/>
        </w:rPr>
        <w:t xml:space="preserve">rd </w:t>
      </w:r>
      <w:r w:rsidRPr="00242D02">
        <w:rPr>
          <w:rFonts w:eastAsia="Times New Roman"/>
          <w:bCs/>
          <w:color w:val="152235"/>
          <w:kern w:val="36"/>
          <w:szCs w:val="24"/>
        </w:rPr>
        <w:t>floors to 35 doctors who were not employees of the Hospital</w:t>
      </w:r>
    </w:p>
    <w:p w:rsidR="008C5607" w:rsidRPr="00242D02" w:rsidRDefault="00D17BC0" w:rsidP="00242D02">
      <w:pPr>
        <w:pStyle w:val="ListParagraph"/>
        <w:numPr>
          <w:ilvl w:val="0"/>
          <w:numId w:val="1"/>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 xml:space="preserve">1973: </w:t>
      </w:r>
      <w:r w:rsidR="008A50D1" w:rsidRPr="00242D02">
        <w:rPr>
          <w:rFonts w:eastAsia="Times New Roman"/>
          <w:bCs/>
          <w:color w:val="152235"/>
          <w:kern w:val="36"/>
          <w:szCs w:val="24"/>
        </w:rPr>
        <w:t xml:space="preserve">Tax amounting to $43,416 was </w:t>
      </w:r>
      <w:r w:rsidRPr="00242D02">
        <w:rPr>
          <w:rFonts w:eastAsia="Times New Roman"/>
          <w:bCs/>
          <w:color w:val="152235"/>
          <w:kern w:val="36"/>
          <w:szCs w:val="24"/>
        </w:rPr>
        <w:t>accessed for the three stories</w:t>
      </w:r>
      <w:r w:rsidR="0041234B" w:rsidRPr="00242D02">
        <w:rPr>
          <w:rFonts w:eastAsia="Times New Roman"/>
          <w:bCs/>
          <w:color w:val="152235"/>
          <w:kern w:val="36"/>
          <w:szCs w:val="24"/>
        </w:rPr>
        <w:t xml:space="preserve"> because they were not used for hospital purposes</w:t>
      </w:r>
    </w:p>
    <w:p w:rsidR="00965F9A" w:rsidRPr="00242D02" w:rsidRDefault="00D17BC0" w:rsidP="00242D02">
      <w:pPr>
        <w:pStyle w:val="ListParagraph"/>
        <w:numPr>
          <w:ilvl w:val="0"/>
          <w:numId w:val="1"/>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 xml:space="preserve">The court ruled </w:t>
      </w:r>
      <w:r w:rsidR="008A50D1" w:rsidRPr="00242D02">
        <w:rPr>
          <w:rFonts w:eastAsia="Times New Roman"/>
          <w:bCs/>
          <w:color w:val="152235"/>
          <w:kern w:val="36"/>
          <w:szCs w:val="24"/>
        </w:rPr>
        <w:t xml:space="preserve">out </w:t>
      </w:r>
      <w:r w:rsidRPr="00242D02">
        <w:rPr>
          <w:rFonts w:eastAsia="Times New Roman"/>
          <w:bCs/>
          <w:color w:val="152235"/>
          <w:kern w:val="36"/>
          <w:szCs w:val="24"/>
        </w:rPr>
        <w:t>that the three stories did not meet the requirements of exclusive use, hence no tax exemption.</w:t>
      </w:r>
    </w:p>
    <w:p w:rsidR="0041234B" w:rsidRPr="00242D02" w:rsidRDefault="00D17BC0" w:rsidP="00242D02">
      <w:pPr>
        <w:shd w:val="clear" w:color="auto" w:fill="FFFFFF"/>
        <w:spacing w:after="0" w:line="480" w:lineRule="auto"/>
        <w:outlineLvl w:val="0"/>
        <w:rPr>
          <w:rFonts w:eastAsia="Times New Roman"/>
          <w:bCs/>
          <w:i/>
          <w:color w:val="152235"/>
          <w:kern w:val="36"/>
          <w:szCs w:val="24"/>
        </w:rPr>
      </w:pPr>
      <w:r w:rsidRPr="00242D02">
        <w:rPr>
          <w:rFonts w:eastAsia="Times New Roman"/>
          <w:bCs/>
          <w:i/>
          <w:color w:val="152235"/>
          <w:kern w:val="36"/>
          <w:szCs w:val="24"/>
        </w:rPr>
        <w:t>Barnes Hospital vs. Collector</w:t>
      </w:r>
    </w:p>
    <w:p w:rsidR="00965F9A" w:rsidRPr="00242D02" w:rsidRDefault="00D17BC0" w:rsidP="00242D02">
      <w:p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Barnes Hospital has a 39,989 sq. feet building</w:t>
      </w:r>
    </w:p>
    <w:p w:rsidR="00CD3EA6" w:rsidRPr="00242D02" w:rsidRDefault="00D17BC0" w:rsidP="00242D02">
      <w:pPr>
        <w:pStyle w:val="ListParagraph"/>
        <w:numPr>
          <w:ilvl w:val="0"/>
          <w:numId w:val="2"/>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The building is leased to Washington</w:t>
      </w:r>
      <w:r w:rsidR="00066BB1" w:rsidRPr="00242D02">
        <w:rPr>
          <w:rFonts w:eastAsia="Times New Roman"/>
          <w:bCs/>
          <w:color w:val="152235"/>
          <w:kern w:val="36"/>
          <w:szCs w:val="24"/>
        </w:rPr>
        <w:t xml:space="preserve"> University Medical S</w:t>
      </w:r>
      <w:r w:rsidRPr="00242D02">
        <w:rPr>
          <w:rFonts w:eastAsia="Times New Roman"/>
          <w:bCs/>
          <w:color w:val="152235"/>
          <w:kern w:val="36"/>
          <w:szCs w:val="24"/>
        </w:rPr>
        <w:t>chool</w:t>
      </w:r>
      <w:r w:rsidR="00066BB1" w:rsidRPr="00242D02">
        <w:rPr>
          <w:rFonts w:eastAsia="Times New Roman"/>
          <w:bCs/>
          <w:color w:val="152235"/>
          <w:kern w:val="36"/>
          <w:szCs w:val="24"/>
        </w:rPr>
        <w:t xml:space="preserve"> staff</w:t>
      </w:r>
    </w:p>
    <w:p w:rsidR="00CD3EA6" w:rsidRPr="00242D02" w:rsidRDefault="00D17BC0" w:rsidP="00242D02">
      <w:pPr>
        <w:pStyle w:val="ListParagraph"/>
        <w:numPr>
          <w:ilvl w:val="0"/>
          <w:numId w:val="2"/>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 xml:space="preserve">To be used for part-time faculty, private use and medical school faculty functions </w:t>
      </w:r>
    </w:p>
    <w:p w:rsidR="003A6DC4" w:rsidRPr="00242D02" w:rsidRDefault="00D17BC0" w:rsidP="00242D02">
      <w:pPr>
        <w:pStyle w:val="ListParagraph"/>
        <w:numPr>
          <w:ilvl w:val="0"/>
          <w:numId w:val="2"/>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Tax c</w:t>
      </w:r>
      <w:r w:rsidR="00CD3EA6" w:rsidRPr="00242D02">
        <w:rPr>
          <w:rFonts w:eastAsia="Times New Roman"/>
          <w:bCs/>
          <w:color w:val="152235"/>
          <w:kern w:val="36"/>
          <w:szCs w:val="24"/>
        </w:rPr>
        <w:t>ollector filled a case, that t</w:t>
      </w:r>
      <w:r w:rsidRPr="00242D02">
        <w:rPr>
          <w:rFonts w:eastAsia="Times New Roman"/>
          <w:bCs/>
          <w:color w:val="152235"/>
          <w:kern w:val="36"/>
          <w:szCs w:val="24"/>
        </w:rPr>
        <w:t>he building was not charitable yet a leased space</w:t>
      </w:r>
    </w:p>
    <w:p w:rsidR="008C5607" w:rsidRPr="00242D02" w:rsidRDefault="00D17BC0" w:rsidP="00242D02">
      <w:pPr>
        <w:pStyle w:val="ListParagraph"/>
        <w:numPr>
          <w:ilvl w:val="0"/>
          <w:numId w:val="2"/>
        </w:numPr>
        <w:shd w:val="clear" w:color="auto" w:fill="FFFFFF"/>
        <w:spacing w:after="0" w:line="480" w:lineRule="auto"/>
        <w:outlineLvl w:val="0"/>
        <w:rPr>
          <w:rFonts w:eastAsia="Times New Roman"/>
          <w:bCs/>
          <w:color w:val="152235"/>
          <w:kern w:val="36"/>
          <w:szCs w:val="24"/>
        </w:rPr>
      </w:pPr>
      <w:r w:rsidRPr="00242D02">
        <w:rPr>
          <w:rFonts w:eastAsia="Times New Roman"/>
          <w:bCs/>
          <w:color w:val="152235"/>
          <w:kern w:val="36"/>
          <w:szCs w:val="24"/>
        </w:rPr>
        <w:t xml:space="preserve">The court ruled out that the building was used exclusively, and it met the three </w:t>
      </w:r>
      <w:r w:rsidR="008A50D1" w:rsidRPr="00242D02">
        <w:rPr>
          <w:rFonts w:eastAsia="Times New Roman"/>
          <w:bCs/>
          <w:color w:val="152235"/>
          <w:kern w:val="36"/>
          <w:szCs w:val="24"/>
        </w:rPr>
        <w:t xml:space="preserve">considerations. They include </w:t>
      </w:r>
      <w:r w:rsidRPr="00242D02">
        <w:rPr>
          <w:rFonts w:eastAsia="Times New Roman"/>
          <w:bCs/>
          <w:color w:val="152235"/>
          <w:kern w:val="36"/>
          <w:szCs w:val="24"/>
        </w:rPr>
        <w:t>Exclusive use for patient care,</w:t>
      </w:r>
      <w:r w:rsidR="0098127B" w:rsidRPr="00242D02">
        <w:rPr>
          <w:rFonts w:eastAsia="Times New Roman"/>
          <w:bCs/>
          <w:color w:val="152235"/>
          <w:kern w:val="36"/>
          <w:szCs w:val="24"/>
        </w:rPr>
        <w:t xml:space="preserve"> non-profit purpose, and it benefited an indefinite number o</w:t>
      </w:r>
      <w:r w:rsidR="008A50D1" w:rsidRPr="00242D02">
        <w:rPr>
          <w:rFonts w:eastAsia="Times New Roman"/>
          <w:bCs/>
          <w:color w:val="152235"/>
          <w:kern w:val="36"/>
          <w:szCs w:val="24"/>
        </w:rPr>
        <w:t>f people.</w:t>
      </w:r>
    </w:p>
    <w:p w:rsidR="006C43B9" w:rsidRPr="00242D02" w:rsidRDefault="00856909" w:rsidP="00242D02">
      <w:pPr>
        <w:spacing w:after="0" w:line="480" w:lineRule="auto"/>
        <w:jc w:val="center"/>
        <w:rPr>
          <w:b/>
          <w:szCs w:val="24"/>
        </w:rPr>
      </w:pPr>
      <w:r w:rsidRPr="00242D02">
        <w:rPr>
          <w:b/>
          <w:szCs w:val="24"/>
        </w:rPr>
        <w:t>The rationale behind</w:t>
      </w:r>
      <w:r w:rsidR="00D17BC0" w:rsidRPr="00242D02">
        <w:rPr>
          <w:b/>
          <w:szCs w:val="24"/>
        </w:rPr>
        <w:t xml:space="preserve"> opposite conclusions</w:t>
      </w:r>
    </w:p>
    <w:p w:rsidR="009C458C" w:rsidRPr="00242D02" w:rsidRDefault="00D17BC0" w:rsidP="00242D02">
      <w:pPr>
        <w:shd w:val="clear" w:color="auto" w:fill="FFFFFF"/>
        <w:spacing w:after="0" w:line="480" w:lineRule="auto"/>
        <w:ind w:firstLine="720"/>
        <w:outlineLvl w:val="0"/>
        <w:rPr>
          <w:rFonts w:eastAsia="Times New Roman"/>
          <w:bCs/>
          <w:i/>
          <w:color w:val="152235"/>
          <w:kern w:val="36"/>
          <w:szCs w:val="24"/>
        </w:rPr>
      </w:pPr>
      <w:r w:rsidRPr="00242D02">
        <w:rPr>
          <w:szCs w:val="24"/>
        </w:rPr>
        <w:t>The two courts arrived at opposite conclusions for similar cases since one di</w:t>
      </w:r>
      <w:r w:rsidR="008A50D1" w:rsidRPr="00242D02">
        <w:rPr>
          <w:szCs w:val="24"/>
        </w:rPr>
        <w:t>d not qualify the provisions of</w:t>
      </w:r>
      <w:r w:rsidRPr="00242D02">
        <w:rPr>
          <w:szCs w:val="24"/>
        </w:rPr>
        <w:t xml:space="preserve"> charitable donations. On its part, </w:t>
      </w:r>
      <w:r w:rsidRPr="00242D02">
        <w:rPr>
          <w:rFonts w:eastAsia="Times New Roman"/>
          <w:bCs/>
          <w:i/>
          <w:color w:val="152235"/>
          <w:kern w:val="36"/>
          <w:szCs w:val="24"/>
        </w:rPr>
        <w:t>Borough v. Sisters of Charity</w:t>
      </w:r>
      <w:r w:rsidRPr="00242D02">
        <w:rPr>
          <w:rFonts w:eastAsia="Times New Roman"/>
          <w:bCs/>
          <w:color w:val="152235"/>
          <w:kern w:val="36"/>
          <w:szCs w:val="24"/>
        </w:rPr>
        <w:t xml:space="preserve"> case was considered inapplicable by the court since the rent, which was collected from three floors, was termed </w:t>
      </w:r>
      <w:r w:rsidR="009C458C" w:rsidRPr="00242D02">
        <w:rPr>
          <w:rFonts w:eastAsia="Times New Roman"/>
          <w:bCs/>
          <w:color w:val="152235"/>
          <w:kern w:val="36"/>
          <w:szCs w:val="24"/>
        </w:rPr>
        <w:t>as a benefit to the hospital</w:t>
      </w:r>
      <w:r w:rsidR="008A50D1" w:rsidRPr="00242D02">
        <w:rPr>
          <w:rFonts w:eastAsia="Times New Roman"/>
          <w:bCs/>
          <w:color w:val="152235"/>
          <w:kern w:val="36"/>
          <w:szCs w:val="24"/>
        </w:rPr>
        <w:t xml:space="preserve"> financially</w:t>
      </w:r>
      <w:r w:rsidR="009C458C" w:rsidRPr="00242D02">
        <w:rPr>
          <w:rFonts w:eastAsia="Times New Roman"/>
          <w:bCs/>
          <w:color w:val="152235"/>
          <w:kern w:val="36"/>
          <w:szCs w:val="24"/>
        </w:rPr>
        <w:t xml:space="preserve">, yet it is supposed to be a non-profit organization. </w:t>
      </w:r>
      <w:r w:rsidR="009C458C" w:rsidRPr="00242D02">
        <w:rPr>
          <w:rFonts w:eastAsia="Times New Roman"/>
          <w:bCs/>
          <w:color w:val="152235"/>
          <w:kern w:val="36"/>
          <w:szCs w:val="24"/>
        </w:rPr>
        <w:lastRenderedPageBreak/>
        <w:t>Again, the three stories were not used to benefit an indefinite number of people and society in general. Precisely, those who rented the premises were doctors from other hospitals, and the sister hospital helped</w:t>
      </w:r>
      <w:r w:rsidR="00172CE2" w:rsidRPr="00242D02">
        <w:rPr>
          <w:rFonts w:eastAsia="Times New Roman"/>
          <w:bCs/>
          <w:color w:val="152235"/>
          <w:kern w:val="36"/>
          <w:szCs w:val="24"/>
        </w:rPr>
        <w:t xml:space="preserve"> the proceeds</w:t>
      </w:r>
      <w:r w:rsidR="009C458C" w:rsidRPr="00242D02">
        <w:rPr>
          <w:rFonts w:eastAsia="Times New Roman"/>
          <w:bCs/>
          <w:color w:val="152235"/>
          <w:kern w:val="36"/>
          <w:szCs w:val="24"/>
        </w:rPr>
        <w:t xml:space="preserve"> since a total of $43,416 tax was recovered.</w:t>
      </w:r>
      <w:r w:rsidR="002078A1" w:rsidRPr="00242D02">
        <w:rPr>
          <w:rFonts w:eastAsia="Times New Roman"/>
          <w:bCs/>
          <w:color w:val="152235"/>
          <w:kern w:val="36"/>
          <w:szCs w:val="24"/>
        </w:rPr>
        <w:t xml:space="preserve"> Notably, the government does not allow non-profit hospitals to rent out their spaces to non-affiliated employees as well as organizations. The court was with the view that exempting the rent from the doctors who were no employees of the hospital is the same taking money from the government, and is against the law. On</w:t>
      </w:r>
      <w:r w:rsidR="001F38E7" w:rsidRPr="00242D02">
        <w:rPr>
          <w:rFonts w:eastAsia="Times New Roman"/>
          <w:bCs/>
          <w:color w:val="152235"/>
          <w:kern w:val="36"/>
          <w:szCs w:val="24"/>
        </w:rPr>
        <w:t xml:space="preserve"> the other hand, the court </w:t>
      </w:r>
      <w:r w:rsidR="009F6A13" w:rsidRPr="00242D02">
        <w:rPr>
          <w:rFonts w:eastAsia="Times New Roman"/>
          <w:bCs/>
          <w:color w:val="152235"/>
          <w:kern w:val="36"/>
          <w:szCs w:val="24"/>
        </w:rPr>
        <w:t xml:space="preserve">exempted Barnes Hospital from paying taxes because the leased space </w:t>
      </w:r>
      <w:r w:rsidRPr="00242D02">
        <w:rPr>
          <w:rFonts w:eastAsia="Times New Roman"/>
          <w:bCs/>
          <w:color w:val="152235"/>
          <w:kern w:val="36"/>
          <w:szCs w:val="24"/>
        </w:rPr>
        <w:t>benefited indefinite number of persons in addition to being exclusively used. Again, the tax collector's claim that Barnes Hospital building was leased for private could not be considered by the court since the hospital did not intend to make a profit from the initiative.</w:t>
      </w:r>
    </w:p>
    <w:p w:rsidR="00980EDF" w:rsidRPr="00242D02" w:rsidRDefault="00D17BC0" w:rsidP="00242D02">
      <w:pPr>
        <w:shd w:val="clear" w:color="auto" w:fill="FFFFFF"/>
        <w:spacing w:after="0" w:line="480" w:lineRule="auto"/>
        <w:ind w:firstLine="720"/>
        <w:jc w:val="center"/>
        <w:outlineLvl w:val="0"/>
        <w:rPr>
          <w:rFonts w:eastAsia="Times New Roman"/>
          <w:b/>
          <w:bCs/>
          <w:color w:val="152235"/>
          <w:kern w:val="36"/>
          <w:szCs w:val="24"/>
        </w:rPr>
      </w:pPr>
      <w:r w:rsidRPr="00242D02">
        <w:rPr>
          <w:rFonts w:eastAsia="Times New Roman"/>
          <w:b/>
          <w:bCs/>
          <w:color w:val="152235"/>
          <w:kern w:val="36"/>
          <w:szCs w:val="24"/>
        </w:rPr>
        <w:t>The more persuasive interpretation</w:t>
      </w:r>
    </w:p>
    <w:p w:rsidR="00481324" w:rsidRPr="00242D02" w:rsidRDefault="00D17BC0" w:rsidP="00242D02">
      <w:pPr>
        <w:shd w:val="clear" w:color="auto" w:fill="FFFFFF"/>
        <w:spacing w:after="0" w:line="480" w:lineRule="auto"/>
        <w:ind w:firstLine="720"/>
        <w:outlineLvl w:val="0"/>
        <w:rPr>
          <w:szCs w:val="24"/>
        </w:rPr>
      </w:pPr>
      <w:r w:rsidRPr="00242D02">
        <w:rPr>
          <w:rFonts w:eastAsia="Times New Roman"/>
          <w:bCs/>
          <w:color w:val="152235"/>
          <w:kern w:val="36"/>
          <w:szCs w:val="24"/>
        </w:rPr>
        <w:t xml:space="preserve">Among the two interpretations, the one relating to </w:t>
      </w:r>
      <w:r w:rsidRPr="00242D02">
        <w:rPr>
          <w:rFonts w:eastAsia="Times New Roman"/>
          <w:bCs/>
          <w:i/>
          <w:color w:val="152235"/>
          <w:kern w:val="36"/>
          <w:szCs w:val="24"/>
        </w:rPr>
        <w:t xml:space="preserve">Borough v. Sisters of Charity </w:t>
      </w:r>
      <w:r w:rsidRPr="00242D02">
        <w:rPr>
          <w:rFonts w:eastAsia="Times New Roman"/>
          <w:bCs/>
          <w:color w:val="152235"/>
          <w:kern w:val="36"/>
          <w:szCs w:val="24"/>
        </w:rPr>
        <w:t>case</w:t>
      </w:r>
      <w:r w:rsidR="009D028B" w:rsidRPr="00242D02">
        <w:rPr>
          <w:rFonts w:eastAsia="Times New Roman"/>
          <w:bCs/>
          <w:color w:val="152235"/>
          <w:kern w:val="36"/>
          <w:szCs w:val="24"/>
        </w:rPr>
        <w:t xml:space="preserve"> is more persuasive</w:t>
      </w:r>
      <w:r w:rsidRPr="00242D02">
        <w:rPr>
          <w:rFonts w:eastAsia="Times New Roman"/>
          <w:bCs/>
          <w:color w:val="152235"/>
          <w:kern w:val="36"/>
          <w:szCs w:val="24"/>
        </w:rPr>
        <w:t xml:space="preserve"> because the court ensured that its ruling was in line with Article 9 of Finance and Taxation. </w:t>
      </w:r>
      <w:r w:rsidRPr="00242D02">
        <w:rPr>
          <w:szCs w:val="24"/>
        </w:rPr>
        <w:t>Cuneo (2015) confirms that Article 9 of the constitution direct</w:t>
      </w:r>
      <w:r w:rsidR="009D028B" w:rsidRPr="00242D02">
        <w:rPr>
          <w:szCs w:val="24"/>
        </w:rPr>
        <w:t xml:space="preserve">s </w:t>
      </w:r>
      <w:r w:rsidRPr="00242D02">
        <w:rPr>
          <w:szCs w:val="24"/>
        </w:rPr>
        <w:t xml:space="preserve">all the portions used exclusively for </w:t>
      </w:r>
      <w:r w:rsidR="0007525C" w:rsidRPr="00242D02">
        <w:rPr>
          <w:szCs w:val="24"/>
        </w:rPr>
        <w:t xml:space="preserve">educational, </w:t>
      </w:r>
      <w:r w:rsidRPr="00242D02">
        <w:rPr>
          <w:szCs w:val="24"/>
        </w:rPr>
        <w:t>non-profit religious organization</w:t>
      </w:r>
      <w:r w:rsidR="0007525C" w:rsidRPr="00242D02">
        <w:rPr>
          <w:szCs w:val="24"/>
        </w:rPr>
        <w:t>s</w:t>
      </w:r>
      <w:r w:rsidRPr="00242D02">
        <w:rPr>
          <w:szCs w:val="24"/>
        </w:rPr>
        <w:t>, cemetery</w:t>
      </w:r>
      <w:r w:rsidR="0007525C" w:rsidRPr="00242D02">
        <w:rPr>
          <w:szCs w:val="24"/>
        </w:rPr>
        <w:t>, and charitable purposes shall</w:t>
      </w:r>
      <w:r w:rsidR="009F273D" w:rsidRPr="00242D02">
        <w:rPr>
          <w:szCs w:val="24"/>
        </w:rPr>
        <w:t xml:space="preserve"> be exempted from tax. In light of the above description, it is evident that the Sisters of Charity building did meet the provision </w:t>
      </w:r>
      <w:r w:rsidRPr="00242D02">
        <w:rPr>
          <w:szCs w:val="24"/>
        </w:rPr>
        <w:t xml:space="preserve">of tax exemption, and courts </w:t>
      </w:r>
      <w:r w:rsidR="009D028B" w:rsidRPr="00242D02">
        <w:rPr>
          <w:szCs w:val="24"/>
        </w:rPr>
        <w:t xml:space="preserve">decision towards the </w:t>
      </w:r>
      <w:r w:rsidRPr="00242D02">
        <w:rPr>
          <w:szCs w:val="24"/>
        </w:rPr>
        <w:t xml:space="preserve">case was exceptional. Cuneo (2015) provided a clear view of the situation by suggesting that the non-affiliated doctors were </w:t>
      </w:r>
      <w:r w:rsidR="009D028B" w:rsidRPr="00242D02">
        <w:rPr>
          <w:szCs w:val="24"/>
        </w:rPr>
        <w:t xml:space="preserve">not supposed to pay tax-free rent, and </w:t>
      </w:r>
      <w:r w:rsidRPr="00242D02">
        <w:rPr>
          <w:szCs w:val="24"/>
        </w:rPr>
        <w:t>the taxation law demands such payments be taxed.</w:t>
      </w:r>
    </w:p>
    <w:p w:rsidR="000C25A4" w:rsidRPr="00242D02" w:rsidRDefault="000F49DD" w:rsidP="00242D02">
      <w:pPr>
        <w:shd w:val="clear" w:color="auto" w:fill="FFFFFF"/>
        <w:spacing w:after="0" w:line="480" w:lineRule="auto"/>
        <w:outlineLvl w:val="0"/>
        <w:rPr>
          <w:rFonts w:eastAsia="Times New Roman"/>
          <w:bCs/>
          <w:color w:val="152235"/>
          <w:kern w:val="36"/>
          <w:szCs w:val="24"/>
        </w:rPr>
      </w:pPr>
      <w:r w:rsidRPr="00242D02">
        <w:rPr>
          <w:szCs w:val="24"/>
        </w:rPr>
        <w:tab/>
      </w:r>
      <w:r w:rsidR="00D17BC0" w:rsidRPr="00242D02">
        <w:rPr>
          <w:szCs w:val="24"/>
        </w:rPr>
        <w:t xml:space="preserve">When it comes to </w:t>
      </w:r>
      <w:r w:rsidR="00D17BC0" w:rsidRPr="00242D02">
        <w:rPr>
          <w:rFonts w:eastAsia="Times New Roman"/>
          <w:bCs/>
          <w:i/>
          <w:color w:val="152235"/>
          <w:kern w:val="36"/>
          <w:szCs w:val="24"/>
        </w:rPr>
        <w:t xml:space="preserve">Barnes Hospital vs. Collector </w:t>
      </w:r>
      <w:r w:rsidR="00D17BC0" w:rsidRPr="00242D02">
        <w:rPr>
          <w:rFonts w:eastAsia="Times New Roman"/>
          <w:bCs/>
          <w:color w:val="152235"/>
          <w:kern w:val="36"/>
          <w:szCs w:val="24"/>
        </w:rPr>
        <w:t>case, the interpretatio</w:t>
      </w:r>
      <w:r w:rsidR="00542EB4" w:rsidRPr="00242D02">
        <w:rPr>
          <w:rFonts w:eastAsia="Times New Roman"/>
          <w:bCs/>
          <w:color w:val="152235"/>
          <w:kern w:val="36"/>
          <w:szCs w:val="24"/>
        </w:rPr>
        <w:t xml:space="preserve">n seems not to be much persuasive. I have arrived on this decision based on the grounds that Washington </w:t>
      </w:r>
      <w:r w:rsidR="00542EB4" w:rsidRPr="00242D02">
        <w:rPr>
          <w:rFonts w:eastAsia="Times New Roman"/>
          <w:bCs/>
          <w:color w:val="152235"/>
          <w:kern w:val="36"/>
          <w:szCs w:val="24"/>
        </w:rPr>
        <w:lastRenderedPageBreak/>
        <w:t xml:space="preserve">University Medical </w:t>
      </w:r>
      <w:r w:rsidR="00242D02" w:rsidRPr="00242D02">
        <w:rPr>
          <w:rFonts w:eastAsia="Times New Roman"/>
          <w:bCs/>
          <w:color w:val="152235"/>
          <w:kern w:val="36"/>
          <w:szCs w:val="24"/>
        </w:rPr>
        <w:t>staff was</w:t>
      </w:r>
      <w:r w:rsidR="00542EB4" w:rsidRPr="00242D02">
        <w:rPr>
          <w:rFonts w:eastAsia="Times New Roman"/>
          <w:bCs/>
          <w:color w:val="152235"/>
          <w:kern w:val="36"/>
          <w:szCs w:val="24"/>
        </w:rPr>
        <w:t xml:space="preserve"> not part </w:t>
      </w:r>
      <w:r w:rsidR="00A81783" w:rsidRPr="00242D02">
        <w:rPr>
          <w:rFonts w:eastAsia="Times New Roman"/>
          <w:bCs/>
          <w:color w:val="152235"/>
          <w:kern w:val="36"/>
          <w:szCs w:val="24"/>
        </w:rPr>
        <w:t>of Barnes</w:t>
      </w:r>
      <w:r w:rsidR="00542EB4" w:rsidRPr="00242D02">
        <w:rPr>
          <w:rFonts w:eastAsia="Times New Roman"/>
          <w:bCs/>
          <w:color w:val="152235"/>
          <w:kern w:val="36"/>
          <w:szCs w:val="24"/>
        </w:rPr>
        <w:t xml:space="preserve"> Hospital, and most of them had leased the </w:t>
      </w:r>
      <w:r w:rsidR="00A81783" w:rsidRPr="00242D02">
        <w:rPr>
          <w:rFonts w:eastAsia="Times New Roman"/>
          <w:bCs/>
          <w:color w:val="152235"/>
          <w:kern w:val="36"/>
          <w:szCs w:val="24"/>
        </w:rPr>
        <w:t>building</w:t>
      </w:r>
      <w:r w:rsidR="00542EB4" w:rsidRPr="00242D02">
        <w:rPr>
          <w:rFonts w:eastAsia="Times New Roman"/>
          <w:bCs/>
          <w:color w:val="152235"/>
          <w:kern w:val="36"/>
          <w:szCs w:val="24"/>
        </w:rPr>
        <w:t xml:space="preserve"> for </w:t>
      </w:r>
      <w:r w:rsidR="008C2EC0" w:rsidRPr="00242D02">
        <w:rPr>
          <w:rFonts w:eastAsia="Times New Roman"/>
          <w:bCs/>
          <w:color w:val="152235"/>
          <w:kern w:val="36"/>
          <w:szCs w:val="24"/>
        </w:rPr>
        <w:t>private use</w:t>
      </w:r>
      <w:r w:rsidR="00A81783" w:rsidRPr="00242D02">
        <w:rPr>
          <w:rFonts w:eastAsia="Times New Roman"/>
          <w:bCs/>
          <w:color w:val="152235"/>
          <w:kern w:val="36"/>
          <w:szCs w:val="24"/>
        </w:rPr>
        <w:t xml:space="preserve">. In my opinion, I would not agree with the court's decision that Barnes Hospital met all provisions of tax exemption because the non-affiliated staff paid rent for the space they had leased. Overall, Barnes Hospital was not regularly </w:t>
      </w:r>
      <w:r w:rsidR="00E066F9" w:rsidRPr="00242D02">
        <w:rPr>
          <w:rFonts w:eastAsia="Times New Roman"/>
          <w:bCs/>
          <w:color w:val="152235"/>
          <w:kern w:val="36"/>
          <w:szCs w:val="24"/>
        </w:rPr>
        <w:t>and actually</w:t>
      </w:r>
      <w:r w:rsidRPr="00242D02">
        <w:rPr>
          <w:rFonts w:eastAsia="Times New Roman"/>
          <w:bCs/>
          <w:color w:val="152235"/>
          <w:kern w:val="36"/>
          <w:szCs w:val="24"/>
        </w:rPr>
        <w:t xml:space="preserve"> used exclusively for charitable purposes.</w:t>
      </w:r>
    </w:p>
    <w:p w:rsidR="00481324" w:rsidRPr="00242D02" w:rsidRDefault="00D17BC0" w:rsidP="00242D02">
      <w:pPr>
        <w:shd w:val="clear" w:color="auto" w:fill="FFFFFF"/>
        <w:spacing w:after="0" w:line="480" w:lineRule="auto"/>
        <w:jc w:val="center"/>
        <w:outlineLvl w:val="0"/>
        <w:rPr>
          <w:rFonts w:eastAsia="Times New Roman"/>
          <w:b/>
          <w:bCs/>
          <w:i/>
          <w:color w:val="152235"/>
          <w:kern w:val="36"/>
          <w:szCs w:val="24"/>
        </w:rPr>
      </w:pPr>
      <w:r w:rsidRPr="00242D02">
        <w:rPr>
          <w:rFonts w:eastAsia="Times New Roman"/>
          <w:b/>
          <w:bCs/>
          <w:color w:val="152235"/>
          <w:kern w:val="36"/>
          <w:szCs w:val="24"/>
        </w:rPr>
        <w:t>Leasing space to vendors</w:t>
      </w:r>
    </w:p>
    <w:p w:rsidR="004630F0" w:rsidRPr="00242D02" w:rsidRDefault="00223EBE" w:rsidP="00242D02">
      <w:pPr>
        <w:shd w:val="clear" w:color="auto" w:fill="FFFFFF"/>
        <w:spacing w:after="0" w:line="480" w:lineRule="auto"/>
        <w:outlineLvl w:val="0"/>
        <w:rPr>
          <w:rFonts w:eastAsia="Times New Roman"/>
          <w:bCs/>
          <w:color w:val="152235"/>
          <w:kern w:val="36"/>
          <w:szCs w:val="24"/>
        </w:rPr>
      </w:pPr>
      <w:r w:rsidRPr="00242D02">
        <w:rPr>
          <w:szCs w:val="24"/>
        </w:rPr>
        <w:tab/>
      </w:r>
      <w:r w:rsidR="000C25A4" w:rsidRPr="00242D02">
        <w:rPr>
          <w:rFonts w:eastAsia="Times New Roman"/>
          <w:bCs/>
          <w:color w:val="152235"/>
          <w:kern w:val="36"/>
          <w:szCs w:val="24"/>
        </w:rPr>
        <w:t xml:space="preserve">Leasing a Hospital's space to vendors does not pave the way for tax exemption. </w:t>
      </w:r>
      <w:r w:rsidRPr="00242D02">
        <w:rPr>
          <w:color w:val="152235"/>
          <w:szCs w:val="24"/>
        </w:rPr>
        <w:t>Regan, (2017)</w:t>
      </w:r>
      <w:r w:rsidRPr="00242D02">
        <w:rPr>
          <w:rFonts w:eastAsia="Times New Roman"/>
          <w:bCs/>
          <w:color w:val="152235"/>
          <w:kern w:val="36"/>
          <w:szCs w:val="24"/>
        </w:rPr>
        <w:t xml:space="preserve"> suggest that the amount received by a hospital from a private corporation for payment of space leased demands to be taxe</w:t>
      </w:r>
      <w:r w:rsidR="00856909" w:rsidRPr="00242D02">
        <w:rPr>
          <w:rFonts w:eastAsia="Times New Roman"/>
          <w:bCs/>
          <w:color w:val="152235"/>
          <w:kern w:val="36"/>
          <w:szCs w:val="24"/>
        </w:rPr>
        <w:t>d. The decision was made on grounds that</w:t>
      </w:r>
      <w:bookmarkStart w:id="0" w:name="_GoBack"/>
      <w:bookmarkEnd w:id="0"/>
      <w:r w:rsidRPr="00242D02">
        <w:rPr>
          <w:rFonts w:eastAsia="Times New Roman"/>
          <w:bCs/>
          <w:color w:val="152235"/>
          <w:kern w:val="36"/>
          <w:szCs w:val="24"/>
        </w:rPr>
        <w:t xml:space="preserve"> the services from by vendor are not part of the hospital's activities. </w:t>
      </w:r>
      <w:r w:rsidR="000C25A4" w:rsidRPr="00242D02">
        <w:rPr>
          <w:rFonts w:eastAsia="Times New Roman"/>
          <w:bCs/>
          <w:color w:val="152235"/>
          <w:kern w:val="36"/>
          <w:szCs w:val="24"/>
        </w:rPr>
        <w:t>In the first place, Vendors like McDonald Restaurant</w:t>
      </w:r>
      <w:r w:rsidR="004E2627" w:rsidRPr="00242D02">
        <w:rPr>
          <w:rFonts w:eastAsia="Times New Roman"/>
          <w:bCs/>
          <w:color w:val="152235"/>
          <w:kern w:val="36"/>
          <w:szCs w:val="24"/>
        </w:rPr>
        <w:t xml:space="preserve"> are c</w:t>
      </w:r>
      <w:r w:rsidR="000C25A4" w:rsidRPr="00242D02">
        <w:rPr>
          <w:rFonts w:eastAsia="Times New Roman"/>
          <w:bCs/>
          <w:color w:val="152235"/>
          <w:kern w:val="36"/>
          <w:szCs w:val="24"/>
        </w:rPr>
        <w:t>orporation</w:t>
      </w:r>
      <w:r w:rsidR="004E2627" w:rsidRPr="00242D02">
        <w:rPr>
          <w:rFonts w:eastAsia="Times New Roman"/>
          <w:bCs/>
          <w:color w:val="152235"/>
          <w:kern w:val="36"/>
          <w:szCs w:val="24"/>
        </w:rPr>
        <w:t xml:space="preserve">s whose </w:t>
      </w:r>
      <w:r w:rsidR="000C25A4" w:rsidRPr="00242D02">
        <w:rPr>
          <w:rFonts w:eastAsia="Times New Roman"/>
          <w:bCs/>
          <w:color w:val="152235"/>
          <w:kern w:val="36"/>
          <w:szCs w:val="24"/>
        </w:rPr>
        <w:t xml:space="preserve">proceeds demands to be subjected to taxation. The fact that the restaurant will be exclusively used for patient care, in addition </w:t>
      </w:r>
      <w:r w:rsidR="004E2627" w:rsidRPr="00242D02">
        <w:rPr>
          <w:rFonts w:eastAsia="Times New Roman"/>
          <w:bCs/>
          <w:color w:val="152235"/>
          <w:kern w:val="36"/>
          <w:szCs w:val="24"/>
        </w:rPr>
        <w:t>to benefiting</w:t>
      </w:r>
      <w:r w:rsidR="000C25A4" w:rsidRPr="00242D02">
        <w:rPr>
          <w:rFonts w:eastAsia="Times New Roman"/>
          <w:bCs/>
          <w:color w:val="152235"/>
          <w:kern w:val="36"/>
          <w:szCs w:val="24"/>
        </w:rPr>
        <w:t xml:space="preserve"> an indefinite number o</w:t>
      </w:r>
      <w:r w:rsidR="004E2627" w:rsidRPr="00242D02">
        <w:rPr>
          <w:rFonts w:eastAsia="Times New Roman"/>
          <w:bCs/>
          <w:color w:val="152235"/>
          <w:kern w:val="36"/>
          <w:szCs w:val="24"/>
        </w:rPr>
        <w:t xml:space="preserve">f persons, it does not qualify to be </w:t>
      </w:r>
      <w:r w:rsidR="000C25A4" w:rsidRPr="00242D02">
        <w:rPr>
          <w:rFonts w:eastAsia="Times New Roman"/>
          <w:bCs/>
          <w:color w:val="152235"/>
          <w:kern w:val="36"/>
          <w:szCs w:val="24"/>
        </w:rPr>
        <w:t>a non-profit organization</w:t>
      </w:r>
      <w:r w:rsidR="008C2EC0" w:rsidRPr="00242D02">
        <w:rPr>
          <w:rFonts w:eastAsia="Times New Roman"/>
          <w:bCs/>
          <w:color w:val="152235"/>
          <w:kern w:val="36"/>
          <w:szCs w:val="24"/>
        </w:rPr>
        <w:t xml:space="preserve"> (</w:t>
      </w:r>
      <w:r w:rsidR="008C2EC0" w:rsidRPr="00242D02">
        <w:rPr>
          <w:szCs w:val="24"/>
        </w:rPr>
        <w:t>Cuneo, 2015)</w:t>
      </w:r>
      <w:r w:rsidR="000C25A4" w:rsidRPr="00242D02">
        <w:rPr>
          <w:rFonts w:eastAsia="Times New Roman"/>
          <w:bCs/>
          <w:color w:val="152235"/>
          <w:kern w:val="36"/>
          <w:szCs w:val="24"/>
        </w:rPr>
        <w:t xml:space="preserve">. The main </w:t>
      </w:r>
      <w:r w:rsidR="00525109" w:rsidRPr="00242D02">
        <w:rPr>
          <w:rFonts w:eastAsia="Times New Roman"/>
          <w:bCs/>
          <w:color w:val="152235"/>
          <w:kern w:val="36"/>
          <w:szCs w:val="24"/>
        </w:rPr>
        <w:t>reason why McDonald Restaurant does</w:t>
      </w:r>
      <w:r w:rsidR="000C25A4" w:rsidRPr="00242D02">
        <w:rPr>
          <w:rFonts w:eastAsia="Times New Roman"/>
          <w:bCs/>
          <w:color w:val="152235"/>
          <w:kern w:val="36"/>
          <w:szCs w:val="24"/>
        </w:rPr>
        <w:t xml:space="preserve"> not meet the three </w:t>
      </w:r>
      <w:r w:rsidR="00242D02" w:rsidRPr="00242D02">
        <w:rPr>
          <w:rFonts w:eastAsia="Times New Roman"/>
          <w:bCs/>
          <w:color w:val="152235"/>
          <w:kern w:val="36"/>
          <w:szCs w:val="24"/>
        </w:rPr>
        <w:t>provisions</w:t>
      </w:r>
      <w:r w:rsidR="000C25A4" w:rsidRPr="00242D02">
        <w:rPr>
          <w:rFonts w:eastAsia="Times New Roman"/>
          <w:bCs/>
          <w:color w:val="152235"/>
          <w:kern w:val="36"/>
          <w:szCs w:val="24"/>
        </w:rPr>
        <w:t xml:space="preserve"> for </w:t>
      </w:r>
      <w:r w:rsidR="00525109" w:rsidRPr="00242D02">
        <w:rPr>
          <w:rFonts w:eastAsia="Times New Roman"/>
          <w:bCs/>
          <w:color w:val="152235"/>
          <w:kern w:val="36"/>
          <w:szCs w:val="24"/>
        </w:rPr>
        <w:t xml:space="preserve">tax exemption is that it is second-largest </w:t>
      </w:r>
      <w:r w:rsidR="004E2627" w:rsidRPr="00242D02">
        <w:rPr>
          <w:rFonts w:eastAsia="Times New Roman"/>
          <w:bCs/>
          <w:color w:val="152235"/>
          <w:kern w:val="36"/>
          <w:szCs w:val="24"/>
        </w:rPr>
        <w:t xml:space="preserve">private </w:t>
      </w:r>
      <w:r w:rsidR="00525109" w:rsidRPr="00242D02">
        <w:rPr>
          <w:rFonts w:eastAsia="Times New Roman"/>
          <w:bCs/>
          <w:color w:val="152235"/>
          <w:kern w:val="36"/>
          <w:szCs w:val="24"/>
        </w:rPr>
        <w:t>employer, whose revenues demands to be taxed. Again, its main revenues come from the rent, royalties, fees paid by franchisees, and restaurant sales</w:t>
      </w:r>
      <w:r w:rsidR="008C2EC0" w:rsidRPr="00242D02">
        <w:rPr>
          <w:rFonts w:eastAsia="Times New Roman"/>
          <w:bCs/>
          <w:color w:val="152235"/>
          <w:kern w:val="36"/>
          <w:szCs w:val="24"/>
        </w:rPr>
        <w:t xml:space="preserve"> (</w:t>
      </w:r>
      <w:r w:rsidR="008C2EC0" w:rsidRPr="00242D02">
        <w:rPr>
          <w:szCs w:val="24"/>
        </w:rPr>
        <w:t>Cuneo, 2015)</w:t>
      </w:r>
      <w:r w:rsidRPr="00242D02">
        <w:rPr>
          <w:rFonts w:eastAsia="Times New Roman"/>
          <w:bCs/>
          <w:color w:val="152235"/>
          <w:kern w:val="36"/>
          <w:szCs w:val="24"/>
        </w:rPr>
        <w:t xml:space="preserve">. These revenues are not included in Article 9 of taxation and finance, and they do qualify for tax exemption. </w:t>
      </w:r>
    </w:p>
    <w:p w:rsidR="0056436D" w:rsidRPr="00242D02" w:rsidRDefault="0056436D" w:rsidP="00242D02">
      <w:pPr>
        <w:shd w:val="clear" w:color="auto" w:fill="FFFFFF"/>
        <w:spacing w:after="0" w:line="480" w:lineRule="auto"/>
        <w:outlineLvl w:val="0"/>
        <w:rPr>
          <w:rFonts w:eastAsia="Times New Roman"/>
          <w:bCs/>
          <w:color w:val="152235"/>
          <w:kern w:val="36"/>
          <w:szCs w:val="24"/>
        </w:rPr>
      </w:pPr>
    </w:p>
    <w:p w:rsidR="00A32109" w:rsidRPr="00242D02" w:rsidRDefault="00A32109" w:rsidP="00242D02">
      <w:pPr>
        <w:spacing w:after="0" w:line="480" w:lineRule="auto"/>
        <w:jc w:val="center"/>
        <w:rPr>
          <w:szCs w:val="24"/>
        </w:rPr>
      </w:pPr>
    </w:p>
    <w:p w:rsidR="00A32109" w:rsidRDefault="00A32109" w:rsidP="00242D02">
      <w:pPr>
        <w:spacing w:after="0" w:line="480" w:lineRule="auto"/>
        <w:rPr>
          <w:szCs w:val="24"/>
        </w:rPr>
      </w:pPr>
    </w:p>
    <w:p w:rsidR="00242D02" w:rsidRPr="00242D02" w:rsidRDefault="00242D02" w:rsidP="00242D02">
      <w:pPr>
        <w:spacing w:after="0" w:line="480" w:lineRule="auto"/>
        <w:rPr>
          <w:szCs w:val="24"/>
        </w:rPr>
      </w:pPr>
    </w:p>
    <w:p w:rsidR="00A32109" w:rsidRPr="00242D02" w:rsidRDefault="00A32109" w:rsidP="00242D02">
      <w:pPr>
        <w:spacing w:after="0" w:line="480" w:lineRule="auto"/>
        <w:jc w:val="center"/>
        <w:rPr>
          <w:szCs w:val="24"/>
        </w:rPr>
      </w:pPr>
    </w:p>
    <w:p w:rsidR="00242D02" w:rsidRPr="00242D02" w:rsidRDefault="00D17BC0" w:rsidP="00242D02">
      <w:pPr>
        <w:spacing w:after="0" w:line="480" w:lineRule="auto"/>
        <w:jc w:val="center"/>
        <w:rPr>
          <w:szCs w:val="24"/>
        </w:rPr>
      </w:pPr>
      <w:r w:rsidRPr="00242D02">
        <w:rPr>
          <w:szCs w:val="24"/>
        </w:rPr>
        <w:lastRenderedPageBreak/>
        <w:t>References</w:t>
      </w:r>
    </w:p>
    <w:p w:rsidR="0056436D" w:rsidRPr="00242D02" w:rsidRDefault="00D17BC0" w:rsidP="00242D02">
      <w:pPr>
        <w:spacing w:after="0" w:line="480" w:lineRule="auto"/>
        <w:rPr>
          <w:color w:val="152235"/>
          <w:szCs w:val="24"/>
        </w:rPr>
      </w:pPr>
      <w:r w:rsidRPr="00242D02">
        <w:rPr>
          <w:szCs w:val="24"/>
        </w:rPr>
        <w:t xml:space="preserve">Cuneo, M.  (2015). </w:t>
      </w:r>
      <w:r w:rsidRPr="00242D02">
        <w:rPr>
          <w:color w:val="152235"/>
          <w:szCs w:val="24"/>
        </w:rPr>
        <w:t xml:space="preserve">Greater Anchorage Area Borough v. Sisters of Charity. Retrieved from </w:t>
      </w:r>
    </w:p>
    <w:p w:rsidR="0056436D" w:rsidRPr="00242D02" w:rsidRDefault="00645F6C" w:rsidP="00242D02">
      <w:pPr>
        <w:spacing w:after="0" w:line="480" w:lineRule="auto"/>
        <w:ind w:firstLine="720"/>
        <w:rPr>
          <w:color w:val="152235"/>
          <w:szCs w:val="24"/>
        </w:rPr>
      </w:pPr>
      <w:hyperlink r:id="rId7" w:history="1">
        <w:r w:rsidR="00D17BC0" w:rsidRPr="00242D02">
          <w:rPr>
            <w:rStyle w:val="Hyperlink"/>
            <w:szCs w:val="24"/>
          </w:rPr>
          <w:t>https://prezi.com/nd6n5jlw2azj/greater-anchorage-area-borough-v-sisters-of-charity/</w:t>
        </w:r>
      </w:hyperlink>
    </w:p>
    <w:p w:rsidR="0056436D" w:rsidRPr="00242D02" w:rsidRDefault="00D17BC0" w:rsidP="00242D02">
      <w:pPr>
        <w:pStyle w:val="Heading1"/>
        <w:shd w:val="clear" w:color="auto" w:fill="FFFFFF"/>
        <w:spacing w:before="0" w:beforeAutospacing="0" w:after="0" w:afterAutospacing="0" w:line="480" w:lineRule="auto"/>
        <w:rPr>
          <w:b w:val="0"/>
          <w:color w:val="152235"/>
          <w:sz w:val="24"/>
          <w:szCs w:val="24"/>
        </w:rPr>
      </w:pPr>
      <w:r w:rsidRPr="00242D02">
        <w:rPr>
          <w:b w:val="0"/>
          <w:color w:val="152235"/>
          <w:sz w:val="24"/>
          <w:szCs w:val="24"/>
        </w:rPr>
        <w:t xml:space="preserve">Regan, M. (2017). Barnes Hospital v. Collector of Revenue. Retrieved from </w:t>
      </w:r>
    </w:p>
    <w:p w:rsidR="0056436D" w:rsidRPr="00242D02" w:rsidRDefault="00645F6C" w:rsidP="00242D02">
      <w:pPr>
        <w:pStyle w:val="Heading1"/>
        <w:shd w:val="clear" w:color="auto" w:fill="FFFFFF"/>
        <w:spacing w:before="0" w:beforeAutospacing="0" w:after="0" w:afterAutospacing="0" w:line="480" w:lineRule="auto"/>
        <w:ind w:firstLine="720"/>
        <w:rPr>
          <w:b w:val="0"/>
          <w:color w:val="152235"/>
          <w:sz w:val="24"/>
          <w:szCs w:val="24"/>
        </w:rPr>
      </w:pPr>
      <w:hyperlink r:id="rId8" w:history="1">
        <w:r w:rsidR="00D17BC0" w:rsidRPr="00242D02">
          <w:rPr>
            <w:rStyle w:val="Hyperlink"/>
            <w:b w:val="0"/>
            <w:sz w:val="24"/>
            <w:szCs w:val="24"/>
          </w:rPr>
          <w:t>https://prezi.com/ixarnh3tiylx/barnes-hospital-v-collector-of-revenue/</w:t>
        </w:r>
      </w:hyperlink>
    </w:p>
    <w:p w:rsidR="0056436D" w:rsidRPr="00242D02" w:rsidRDefault="0056436D" w:rsidP="00242D02">
      <w:pPr>
        <w:spacing w:after="0" w:line="480" w:lineRule="auto"/>
        <w:rPr>
          <w:szCs w:val="24"/>
        </w:rPr>
      </w:pPr>
    </w:p>
    <w:p w:rsidR="0056436D" w:rsidRPr="00242D02" w:rsidRDefault="0056436D" w:rsidP="00242D02">
      <w:pPr>
        <w:shd w:val="clear" w:color="auto" w:fill="FFFFFF"/>
        <w:spacing w:after="0" w:line="480" w:lineRule="auto"/>
        <w:outlineLvl w:val="0"/>
        <w:rPr>
          <w:rFonts w:eastAsia="Times New Roman"/>
          <w:bCs/>
          <w:color w:val="152235"/>
          <w:kern w:val="36"/>
          <w:szCs w:val="24"/>
        </w:rPr>
      </w:pPr>
    </w:p>
    <w:p w:rsidR="00DC55BA" w:rsidRPr="00242D02" w:rsidRDefault="00DC55BA" w:rsidP="00242D02">
      <w:pPr>
        <w:spacing w:after="0" w:line="480" w:lineRule="auto"/>
        <w:rPr>
          <w:szCs w:val="24"/>
        </w:rPr>
      </w:pPr>
    </w:p>
    <w:p w:rsidR="008B0D48" w:rsidRPr="00242D02" w:rsidRDefault="008B0D48" w:rsidP="00242D02">
      <w:pPr>
        <w:spacing w:after="0" w:line="480" w:lineRule="auto"/>
        <w:rPr>
          <w:szCs w:val="24"/>
        </w:rPr>
      </w:pPr>
    </w:p>
    <w:p w:rsidR="008B0D48" w:rsidRPr="00242D02" w:rsidRDefault="008B0D48"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A32109" w:rsidRPr="00242D02" w:rsidRDefault="00A32109" w:rsidP="00242D02">
      <w:pPr>
        <w:spacing w:after="0" w:line="480" w:lineRule="auto"/>
        <w:rPr>
          <w:szCs w:val="24"/>
        </w:rPr>
      </w:pPr>
    </w:p>
    <w:p w:rsidR="008B0D48" w:rsidRPr="00242D02" w:rsidRDefault="008B0D48" w:rsidP="00242D02">
      <w:pPr>
        <w:spacing w:after="0" w:line="480" w:lineRule="auto"/>
        <w:jc w:val="center"/>
        <w:rPr>
          <w:szCs w:val="24"/>
        </w:rPr>
      </w:pPr>
    </w:p>
    <w:p w:rsidR="008B0D48" w:rsidRPr="00242D02" w:rsidRDefault="008B0D48" w:rsidP="00242D02">
      <w:pPr>
        <w:spacing w:after="0" w:line="480" w:lineRule="auto"/>
        <w:rPr>
          <w:szCs w:val="24"/>
        </w:rPr>
      </w:pPr>
    </w:p>
    <w:p w:rsidR="00D94816" w:rsidRPr="00242D02" w:rsidRDefault="00D94816" w:rsidP="00242D02">
      <w:pPr>
        <w:spacing w:after="0" w:line="480" w:lineRule="auto"/>
        <w:rPr>
          <w:szCs w:val="24"/>
        </w:rPr>
      </w:pPr>
    </w:p>
    <w:p w:rsidR="00D94816" w:rsidRPr="00242D02" w:rsidRDefault="00D94816"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8C2EC0" w:rsidRPr="00242D02" w:rsidRDefault="008C2EC0" w:rsidP="00242D02">
      <w:pPr>
        <w:spacing w:after="0" w:line="480" w:lineRule="auto"/>
        <w:rPr>
          <w:szCs w:val="24"/>
        </w:rPr>
      </w:pPr>
    </w:p>
    <w:p w:rsidR="00D94816" w:rsidRPr="00242D02" w:rsidRDefault="00D94816" w:rsidP="00242D02">
      <w:pPr>
        <w:spacing w:after="0" w:line="480" w:lineRule="auto"/>
        <w:rPr>
          <w:szCs w:val="24"/>
        </w:rPr>
      </w:pPr>
    </w:p>
    <w:p w:rsidR="00D94816" w:rsidRPr="00242D02" w:rsidRDefault="00D94816" w:rsidP="00242D02">
      <w:pPr>
        <w:spacing w:after="0" w:line="480" w:lineRule="auto"/>
        <w:rPr>
          <w:szCs w:val="24"/>
        </w:rPr>
      </w:pPr>
    </w:p>
    <w:sectPr w:rsidR="00D94816" w:rsidRPr="00242D02" w:rsidSect="00A3210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181" w:rsidRDefault="00EE0181" w:rsidP="00A32109">
      <w:pPr>
        <w:spacing w:after="0" w:line="240" w:lineRule="auto"/>
      </w:pPr>
      <w:r>
        <w:separator/>
      </w:r>
    </w:p>
  </w:endnote>
  <w:endnote w:type="continuationSeparator" w:id="1">
    <w:p w:rsidR="00EE0181" w:rsidRDefault="00EE0181" w:rsidP="00A321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181" w:rsidRDefault="00EE0181" w:rsidP="00A32109">
      <w:pPr>
        <w:spacing w:after="0" w:line="240" w:lineRule="auto"/>
      </w:pPr>
      <w:r>
        <w:separator/>
      </w:r>
    </w:p>
  </w:footnote>
  <w:footnote w:type="continuationSeparator" w:id="1">
    <w:p w:rsidR="00EE0181" w:rsidRDefault="00EE0181" w:rsidP="00A321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5674086"/>
      <w:docPartObj>
        <w:docPartGallery w:val="Page Numbers (Top of Page)"/>
        <w:docPartUnique/>
      </w:docPartObj>
    </w:sdtPr>
    <w:sdtEndPr>
      <w:rPr>
        <w:noProof/>
      </w:rPr>
    </w:sdtEndPr>
    <w:sdtContent>
      <w:p w:rsidR="00A32109" w:rsidRPr="00A32109" w:rsidRDefault="00A32109" w:rsidP="00A32109">
        <w:pPr>
          <w:rPr>
            <w:szCs w:val="24"/>
          </w:rPr>
        </w:pPr>
        <w:r>
          <w:rPr>
            <w:szCs w:val="24"/>
          </w:rPr>
          <w:t xml:space="preserve">CASE ANALYSIS                                                                                                                         </w:t>
        </w:r>
        <w:r w:rsidR="00645F6C">
          <w:fldChar w:fldCharType="begin"/>
        </w:r>
        <w:r>
          <w:instrText xml:space="preserve"> PAGE   \* MERGEFORMAT </w:instrText>
        </w:r>
        <w:r w:rsidR="00645F6C">
          <w:fldChar w:fldCharType="separate"/>
        </w:r>
        <w:r w:rsidR="00E066F9">
          <w:rPr>
            <w:noProof/>
          </w:rPr>
          <w:t>5</w:t>
        </w:r>
        <w:r w:rsidR="00645F6C">
          <w:rPr>
            <w:noProof/>
          </w:rPr>
          <w:fldChar w:fldCharType="end"/>
        </w:r>
      </w:p>
    </w:sdtContent>
  </w:sdt>
  <w:p w:rsidR="00A32109" w:rsidRDefault="00A321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1205907"/>
      <w:docPartObj>
        <w:docPartGallery w:val="Page Numbers (Top of Page)"/>
        <w:docPartUnique/>
      </w:docPartObj>
    </w:sdtPr>
    <w:sdtEndPr>
      <w:rPr>
        <w:noProof/>
      </w:rPr>
    </w:sdtEndPr>
    <w:sdtContent>
      <w:p w:rsidR="00A32109" w:rsidRPr="00A32109" w:rsidRDefault="00A32109" w:rsidP="00A32109">
        <w:pPr>
          <w:rPr>
            <w:szCs w:val="24"/>
          </w:rPr>
        </w:pPr>
        <w:r>
          <w:t xml:space="preserve">Running head: </w:t>
        </w:r>
        <w:r>
          <w:rPr>
            <w:szCs w:val="24"/>
          </w:rPr>
          <w:t xml:space="preserve">CASE ANALYSIS                                                                                          </w:t>
        </w:r>
        <w:r w:rsidR="00645F6C">
          <w:fldChar w:fldCharType="begin"/>
        </w:r>
        <w:r>
          <w:instrText xml:space="preserve"> PAGE   \* MERGEFORMAT </w:instrText>
        </w:r>
        <w:r w:rsidR="00645F6C">
          <w:fldChar w:fldCharType="separate"/>
        </w:r>
        <w:r w:rsidR="00E066F9">
          <w:rPr>
            <w:noProof/>
          </w:rPr>
          <w:t>1</w:t>
        </w:r>
        <w:r w:rsidR="00645F6C">
          <w:rPr>
            <w:noProof/>
          </w:rPr>
          <w:fldChar w:fldCharType="end"/>
        </w:r>
      </w:p>
    </w:sdtContent>
  </w:sdt>
  <w:p w:rsidR="00A32109" w:rsidRDefault="00A32109" w:rsidP="00A32109">
    <w:pPr>
      <w:pStyle w:val="Header"/>
    </w:pPr>
  </w:p>
  <w:p w:rsidR="00A32109" w:rsidRDefault="00A3210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152FD4"/>
    <w:multiLevelType w:val="hybridMultilevel"/>
    <w:tmpl w:val="06101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425ACC"/>
    <w:multiLevelType w:val="hybridMultilevel"/>
    <w:tmpl w:val="25DE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5848"/>
    <w:rsid w:val="0003272A"/>
    <w:rsid w:val="00066BB1"/>
    <w:rsid w:val="0007525C"/>
    <w:rsid w:val="000C25A4"/>
    <w:rsid w:val="000F49DD"/>
    <w:rsid w:val="00172CE2"/>
    <w:rsid w:val="00193DC2"/>
    <w:rsid w:val="001F38E7"/>
    <w:rsid w:val="002078A1"/>
    <w:rsid w:val="00223EBE"/>
    <w:rsid w:val="00242D02"/>
    <w:rsid w:val="00251B4C"/>
    <w:rsid w:val="002B3FB7"/>
    <w:rsid w:val="002B601E"/>
    <w:rsid w:val="003978ED"/>
    <w:rsid w:val="003A6DC4"/>
    <w:rsid w:val="003D39CC"/>
    <w:rsid w:val="00410E3F"/>
    <w:rsid w:val="0041234B"/>
    <w:rsid w:val="004630F0"/>
    <w:rsid w:val="004758C5"/>
    <w:rsid w:val="00481324"/>
    <w:rsid w:val="004E2627"/>
    <w:rsid w:val="00525109"/>
    <w:rsid w:val="00542EB4"/>
    <w:rsid w:val="0056436D"/>
    <w:rsid w:val="005727BB"/>
    <w:rsid w:val="00645F6C"/>
    <w:rsid w:val="006C43B9"/>
    <w:rsid w:val="008002C4"/>
    <w:rsid w:val="00855E01"/>
    <w:rsid w:val="00856909"/>
    <w:rsid w:val="00874F7B"/>
    <w:rsid w:val="00886282"/>
    <w:rsid w:val="008A50D1"/>
    <w:rsid w:val="008B0D48"/>
    <w:rsid w:val="008C2EC0"/>
    <w:rsid w:val="008C5607"/>
    <w:rsid w:val="00965F9A"/>
    <w:rsid w:val="00980EDF"/>
    <w:rsid w:val="0098127B"/>
    <w:rsid w:val="009C458C"/>
    <w:rsid w:val="009D028B"/>
    <w:rsid w:val="009F273D"/>
    <w:rsid w:val="009F6A13"/>
    <w:rsid w:val="00A32109"/>
    <w:rsid w:val="00A37B9E"/>
    <w:rsid w:val="00A56371"/>
    <w:rsid w:val="00A81783"/>
    <w:rsid w:val="00AB7791"/>
    <w:rsid w:val="00AD6C50"/>
    <w:rsid w:val="00C21E02"/>
    <w:rsid w:val="00C35AFF"/>
    <w:rsid w:val="00C85E2E"/>
    <w:rsid w:val="00CD3EA6"/>
    <w:rsid w:val="00D03508"/>
    <w:rsid w:val="00D17BC0"/>
    <w:rsid w:val="00D31613"/>
    <w:rsid w:val="00D55F35"/>
    <w:rsid w:val="00D728D6"/>
    <w:rsid w:val="00D94816"/>
    <w:rsid w:val="00DA2400"/>
    <w:rsid w:val="00DC55BA"/>
    <w:rsid w:val="00DE6DD7"/>
    <w:rsid w:val="00E066F9"/>
    <w:rsid w:val="00EA5848"/>
    <w:rsid w:val="00EC52A2"/>
    <w:rsid w:val="00EE0181"/>
    <w:rsid w:val="00FA1D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5A4"/>
  </w:style>
  <w:style w:type="paragraph" w:styleId="Heading1">
    <w:name w:val="heading 1"/>
    <w:basedOn w:val="Normal"/>
    <w:link w:val="Heading1Char"/>
    <w:uiPriority w:val="9"/>
    <w:qFormat/>
    <w:rsid w:val="008C5607"/>
    <w:pPr>
      <w:spacing w:before="100" w:beforeAutospacing="1" w:after="100" w:afterAutospacing="1" w:line="240" w:lineRule="auto"/>
      <w:outlineLvl w:val="0"/>
    </w:pPr>
    <w:rPr>
      <w:rFonts w:eastAsia="Times New Roman"/>
      <w:b/>
      <w:bCs/>
      <w:color w:val="auto"/>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607"/>
    <w:rPr>
      <w:rFonts w:eastAsia="Times New Roman"/>
      <w:b/>
      <w:bCs/>
      <w:color w:val="auto"/>
      <w:kern w:val="36"/>
      <w:sz w:val="48"/>
      <w:szCs w:val="48"/>
    </w:rPr>
  </w:style>
  <w:style w:type="character" w:styleId="Hyperlink">
    <w:name w:val="Hyperlink"/>
    <w:basedOn w:val="DefaultParagraphFont"/>
    <w:uiPriority w:val="99"/>
    <w:unhideWhenUsed/>
    <w:rsid w:val="005727BB"/>
    <w:rPr>
      <w:color w:val="0563C1" w:themeColor="hyperlink"/>
      <w:u w:val="single"/>
    </w:rPr>
  </w:style>
  <w:style w:type="paragraph" w:styleId="Header">
    <w:name w:val="header"/>
    <w:basedOn w:val="Normal"/>
    <w:link w:val="HeaderChar"/>
    <w:uiPriority w:val="99"/>
    <w:unhideWhenUsed/>
    <w:rsid w:val="00A32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109"/>
  </w:style>
  <w:style w:type="paragraph" w:styleId="Footer">
    <w:name w:val="footer"/>
    <w:basedOn w:val="Normal"/>
    <w:link w:val="FooterChar"/>
    <w:uiPriority w:val="99"/>
    <w:unhideWhenUsed/>
    <w:rsid w:val="00A32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109"/>
  </w:style>
  <w:style w:type="paragraph" w:styleId="ListParagraph">
    <w:name w:val="List Paragraph"/>
    <w:basedOn w:val="Normal"/>
    <w:uiPriority w:val="34"/>
    <w:qFormat/>
    <w:rsid w:val="00242D0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zi.com/ixarnh3tiylx/barnes-hospital-v-collector-of-revenue/" TargetMode="External"/><Relationship Id="rId3" Type="http://schemas.openxmlformats.org/officeDocument/2006/relationships/settings" Target="settings.xml"/><Relationship Id="rId7" Type="http://schemas.openxmlformats.org/officeDocument/2006/relationships/hyperlink" Target="https://prezi.com/nd6n5jlw2azj/greater-anchorage-area-borough-v-sisters-of-char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2020-04-16T05:17:00Z</dcterms:created>
  <dcterms:modified xsi:type="dcterms:W3CDTF">2020-04-16T05:17:00Z</dcterms:modified>
</cp:coreProperties>
</file>